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A1D7" w14:textId="0E0DDC42" w:rsidR="0036215B" w:rsidRDefault="00362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456-11-015</w:t>
      </w:r>
    </w:p>
    <w:p w14:paraId="393B3812" w14:textId="4B94B549" w:rsidR="00415FB0" w:rsidRPr="00E33F1F" w:rsidRDefault="00954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 </w:t>
      </w:r>
      <w:r w:rsidR="0036215B">
        <w:rPr>
          <w:rFonts w:ascii="Arial" w:hAnsi="Arial" w:cs="Arial"/>
          <w:b/>
        </w:rPr>
        <w:t xml:space="preserve">Evidence   </w:t>
      </w:r>
    </w:p>
    <w:p w14:paraId="0027FC62" w14:textId="35A92B2C" w:rsidR="00572DA1" w:rsidRPr="00E33F1F" w:rsidRDefault="00572DA1" w:rsidP="00243948">
      <w:pPr>
        <w:tabs>
          <w:tab w:val="left" w:pos="720"/>
        </w:tabs>
        <w:rPr>
          <w:rFonts w:ascii="Arial" w:hAnsi="Arial" w:cs="Arial"/>
          <w:b/>
        </w:rPr>
      </w:pPr>
    </w:p>
    <w:p w14:paraId="4F545083" w14:textId="77777777" w:rsidR="00D32786" w:rsidRDefault="00D32786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</w:p>
    <w:p w14:paraId="424F5E40" w14:textId="3B11C0E9" w:rsidR="00096549" w:rsidRDefault="00243948" w:rsidP="00243948">
      <w:pPr>
        <w:tabs>
          <w:tab w:val="left" w:pos="72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(1) </w:t>
      </w:r>
      <w:r w:rsidR="00D32786" w:rsidRPr="00D32786">
        <w:rPr>
          <w:rFonts w:ascii="Arial" w:hAnsi="Arial" w:cs="Arial"/>
          <w:color w:val="000000" w:themeColor="text1"/>
        </w:rPr>
        <w:t>a.</w:t>
      </w:r>
      <w:r w:rsidR="00C63FEE">
        <w:rPr>
          <w:rFonts w:ascii="Arial" w:hAnsi="Arial" w:cs="Arial"/>
          <w:color w:val="000000" w:themeColor="text1"/>
        </w:rPr>
        <w:t xml:space="preserve"> Except as provided in section (1</w:t>
      </w:r>
      <w:proofErr w:type="gramStart"/>
      <w:r w:rsidR="00C63FEE">
        <w:rPr>
          <w:rFonts w:ascii="Arial" w:hAnsi="Arial" w:cs="Arial"/>
          <w:color w:val="000000" w:themeColor="text1"/>
        </w:rPr>
        <w:t>)b</w:t>
      </w:r>
      <w:proofErr w:type="gramEnd"/>
      <w:r w:rsidR="00C63FEE">
        <w:rPr>
          <w:rFonts w:ascii="Arial" w:hAnsi="Arial" w:cs="Arial"/>
          <w:color w:val="000000" w:themeColor="text1"/>
        </w:rPr>
        <w:t xml:space="preserve"> of this rule</w:t>
      </w:r>
      <w:r w:rsidR="00D32786" w:rsidRPr="00D32786">
        <w:rPr>
          <w:rFonts w:ascii="Arial" w:hAnsi="Arial" w:cs="Arial"/>
          <w:color w:val="000000" w:themeColor="text1"/>
        </w:rPr>
        <w:t xml:space="preserve"> </w:t>
      </w:r>
      <w:r w:rsidR="00C63FEE">
        <w:rPr>
          <w:rFonts w:ascii="Arial" w:hAnsi="Arial" w:cs="Arial"/>
          <w:color w:val="000000" w:themeColor="text1"/>
        </w:rPr>
        <w:t>t</w:t>
      </w:r>
      <w:r w:rsidR="00B36867" w:rsidRPr="00D32786">
        <w:rPr>
          <w:rFonts w:ascii="Arial" w:hAnsi="Arial" w:cs="Arial"/>
          <w:color w:val="000000" w:themeColor="text1"/>
        </w:rPr>
        <w:t xml:space="preserve">he board makes its own findings </w:t>
      </w:r>
      <w:r w:rsidR="009C519D" w:rsidRPr="00D32786">
        <w:rPr>
          <w:rFonts w:ascii="Arial" w:hAnsi="Arial" w:cs="Arial"/>
          <w:color w:val="000000" w:themeColor="text1"/>
        </w:rPr>
        <w:t xml:space="preserve">and issues its decision on the evidence before it.  </w:t>
      </w:r>
      <w:r w:rsidR="00A646B3" w:rsidRPr="00D32786">
        <w:rPr>
          <w:rFonts w:ascii="Arial" w:hAnsi="Arial" w:cs="Arial"/>
          <w:color w:val="000000" w:themeColor="text1"/>
        </w:rPr>
        <w:t xml:space="preserve">The board does not review </w:t>
      </w:r>
      <w:r w:rsidR="00B85AEC" w:rsidRPr="00D32786">
        <w:rPr>
          <w:rFonts w:ascii="Arial" w:hAnsi="Arial" w:cs="Arial"/>
          <w:color w:val="000000" w:themeColor="text1"/>
        </w:rPr>
        <w:t>the decision</w:t>
      </w:r>
      <w:r w:rsidR="00A646B3" w:rsidRPr="00D32786">
        <w:rPr>
          <w:rFonts w:ascii="Arial" w:hAnsi="Arial" w:cs="Arial"/>
          <w:color w:val="000000" w:themeColor="text1"/>
        </w:rPr>
        <w:t xml:space="preserve"> of a board of equalization or the department of revenue for error.   </w:t>
      </w:r>
    </w:p>
    <w:p w14:paraId="190E0946" w14:textId="44DBB41E" w:rsidR="00D32786" w:rsidRPr="00096549" w:rsidRDefault="00243948" w:rsidP="00243948">
      <w:pPr>
        <w:tabs>
          <w:tab w:val="left" w:pos="72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 w:rsidRPr="00096549">
        <w:rPr>
          <w:rFonts w:ascii="Arial" w:hAnsi="Arial" w:cs="Arial"/>
          <w:color w:val="000000" w:themeColor="text1"/>
        </w:rPr>
        <w:t>b.</w:t>
      </w:r>
      <w:r w:rsidR="00A3311E" w:rsidRPr="00096549">
        <w:rPr>
          <w:rFonts w:ascii="Arial" w:hAnsi="Arial" w:cs="Arial"/>
          <w:color w:val="000000" w:themeColor="text1"/>
        </w:rPr>
        <w:t xml:space="preserve"> </w:t>
      </w:r>
      <w:r w:rsidR="00C63FEE" w:rsidRPr="00096549">
        <w:rPr>
          <w:rFonts w:ascii="Arial" w:hAnsi="Arial" w:cs="Arial"/>
          <w:color w:val="000000" w:themeColor="text1"/>
        </w:rPr>
        <w:t>The following types of agency actions are reviewed for error without a de novo hearing.</w:t>
      </w:r>
    </w:p>
    <w:p w14:paraId="52F2A787" w14:textId="09A605B4" w:rsidR="00C63FEE" w:rsidRPr="00096549" w:rsidRDefault="00096549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 w:rsidR="00C63FEE" w:rsidRPr="00096549">
        <w:rPr>
          <w:rFonts w:ascii="Arial" w:hAnsi="Arial" w:cs="Arial"/>
          <w:color w:val="000000" w:themeColor="text1"/>
        </w:rPr>
        <w:t>i</w:t>
      </w:r>
      <w:proofErr w:type="spellEnd"/>
      <w:r w:rsidR="00C63FEE" w:rsidRPr="00096549">
        <w:rPr>
          <w:rFonts w:ascii="Arial" w:hAnsi="Arial" w:cs="Arial"/>
          <w:color w:val="000000" w:themeColor="text1"/>
        </w:rPr>
        <w:t>.</w:t>
      </w:r>
      <w:r w:rsidR="00A747F7">
        <w:rPr>
          <w:rFonts w:ascii="Arial" w:hAnsi="Arial" w:cs="Arial"/>
          <w:color w:val="000000" w:themeColor="text1"/>
        </w:rPr>
        <w:t xml:space="preserve"> </w:t>
      </w:r>
      <w:r w:rsidR="00C63FEE" w:rsidRPr="00096549">
        <w:rPr>
          <w:rFonts w:ascii="Arial" w:hAnsi="Arial" w:cs="Arial"/>
          <w:color w:val="000000" w:themeColor="text1"/>
        </w:rPr>
        <w:t xml:space="preserve">Appeals from a denial of a </w:t>
      </w:r>
      <w:r w:rsidR="00FE427E" w:rsidRPr="00096549">
        <w:rPr>
          <w:rFonts w:ascii="Arial" w:hAnsi="Arial" w:cs="Arial"/>
          <w:color w:val="000000" w:themeColor="text1"/>
        </w:rPr>
        <w:t>reconvene</w:t>
      </w:r>
      <w:r w:rsidR="00C63FEE" w:rsidRPr="00096549">
        <w:rPr>
          <w:rFonts w:ascii="Arial" w:hAnsi="Arial" w:cs="Arial"/>
          <w:color w:val="000000" w:themeColor="text1"/>
        </w:rPr>
        <w:t xml:space="preserve"> request.</w:t>
      </w:r>
      <w:r w:rsidR="00C54481" w:rsidRPr="00096549">
        <w:rPr>
          <w:rFonts w:ascii="Arial" w:hAnsi="Arial" w:cs="Arial"/>
          <w:color w:val="000000" w:themeColor="text1"/>
        </w:rPr>
        <w:t xml:space="preserve"> </w:t>
      </w:r>
    </w:p>
    <w:p w14:paraId="591A1088" w14:textId="46CEC1FF" w:rsidR="00C63FEE" w:rsidRPr="00096549" w:rsidRDefault="00096549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C63FEE" w:rsidRPr="00096549">
        <w:rPr>
          <w:rFonts w:ascii="Arial" w:hAnsi="Arial" w:cs="Arial"/>
          <w:color w:val="000000" w:themeColor="text1"/>
        </w:rPr>
        <w:t>ii. Appeals based on procedural errors</w:t>
      </w:r>
      <w:r w:rsidR="00C54481" w:rsidRPr="00096549">
        <w:rPr>
          <w:rFonts w:ascii="Arial" w:hAnsi="Arial" w:cs="Arial"/>
          <w:color w:val="000000" w:themeColor="text1"/>
        </w:rPr>
        <w:t>.</w:t>
      </w:r>
      <w:r w:rsidR="00C63FEE" w:rsidRPr="00096549">
        <w:rPr>
          <w:rFonts w:ascii="Arial" w:hAnsi="Arial" w:cs="Arial"/>
          <w:color w:val="000000" w:themeColor="text1"/>
        </w:rPr>
        <w:t xml:space="preserve"> </w:t>
      </w:r>
    </w:p>
    <w:p w14:paraId="7C430B5F" w14:textId="2914C7E9" w:rsidR="00F068A9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(2) </w:t>
      </w:r>
      <w:r w:rsidR="00F068A9" w:rsidRPr="00D32786">
        <w:rPr>
          <w:rFonts w:ascii="Arial" w:hAnsi="Arial" w:cs="Arial"/>
          <w:color w:val="000000" w:themeColor="text1"/>
        </w:rPr>
        <w:t xml:space="preserve">The board does not receive a record of, or consider, testimony provided in a </w:t>
      </w:r>
      <w:r w:rsidR="00795EC4" w:rsidRPr="00D32786">
        <w:rPr>
          <w:rFonts w:ascii="Arial" w:hAnsi="Arial" w:cs="Arial"/>
          <w:color w:val="000000" w:themeColor="text1"/>
        </w:rPr>
        <w:t xml:space="preserve">county </w:t>
      </w:r>
      <w:r w:rsidR="00F068A9" w:rsidRPr="00D32786">
        <w:rPr>
          <w:rFonts w:ascii="Arial" w:hAnsi="Arial" w:cs="Arial"/>
          <w:color w:val="000000" w:themeColor="text1"/>
        </w:rPr>
        <w:t xml:space="preserve">board of equalization proceeding.  The board will not review the written record of a </w:t>
      </w:r>
      <w:r w:rsidR="00795EC4" w:rsidRPr="00D32786">
        <w:rPr>
          <w:rFonts w:ascii="Arial" w:hAnsi="Arial" w:cs="Arial"/>
          <w:color w:val="000000" w:themeColor="text1"/>
        </w:rPr>
        <w:t xml:space="preserve">county </w:t>
      </w:r>
      <w:r w:rsidR="00F068A9" w:rsidRPr="00D32786">
        <w:rPr>
          <w:rFonts w:ascii="Arial" w:hAnsi="Arial" w:cs="Arial"/>
          <w:color w:val="000000" w:themeColor="text1"/>
        </w:rPr>
        <w:t xml:space="preserve">board of equalization proceeding except as provided in this rule.  </w:t>
      </w:r>
    </w:p>
    <w:p w14:paraId="36BB8AA2" w14:textId="1D45F93B" w:rsidR="00954D02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(3) </w:t>
      </w:r>
      <w:r w:rsidR="009F0C34" w:rsidRPr="00D32786">
        <w:rPr>
          <w:rFonts w:ascii="Arial" w:hAnsi="Arial" w:cs="Arial"/>
          <w:color w:val="000000" w:themeColor="text1"/>
        </w:rPr>
        <w:t>A</w:t>
      </w:r>
      <w:r w:rsidR="006B54A9" w:rsidRPr="00D32786">
        <w:rPr>
          <w:rFonts w:ascii="Arial" w:hAnsi="Arial" w:cs="Arial"/>
          <w:color w:val="000000" w:themeColor="text1"/>
        </w:rPr>
        <w:t xml:space="preserve"> party may request</w:t>
      </w:r>
      <w:r w:rsidR="00795EC4" w:rsidRPr="00D32786">
        <w:rPr>
          <w:rFonts w:ascii="Arial" w:hAnsi="Arial" w:cs="Arial"/>
          <w:color w:val="000000" w:themeColor="text1"/>
        </w:rPr>
        <w:t xml:space="preserve"> </w:t>
      </w:r>
      <w:r w:rsidR="00582439" w:rsidRPr="00D32786">
        <w:rPr>
          <w:rFonts w:ascii="Arial" w:hAnsi="Arial" w:cs="Arial"/>
          <w:color w:val="000000" w:themeColor="text1"/>
        </w:rPr>
        <w:t>by motion</w:t>
      </w:r>
      <w:r w:rsidR="00795EC4" w:rsidRPr="00D32786">
        <w:rPr>
          <w:rFonts w:ascii="Arial" w:hAnsi="Arial" w:cs="Arial"/>
          <w:color w:val="000000" w:themeColor="text1"/>
        </w:rPr>
        <w:t>, no later than the deadline set by the board for submitting new evidence,</w:t>
      </w:r>
      <w:r w:rsidR="006B54A9" w:rsidRPr="00D32786">
        <w:rPr>
          <w:rFonts w:ascii="Arial" w:hAnsi="Arial" w:cs="Arial"/>
          <w:color w:val="000000" w:themeColor="text1"/>
        </w:rPr>
        <w:t xml:space="preserve"> that the board consider evidence from the written record</w:t>
      </w:r>
      <w:r w:rsidR="00795EC4" w:rsidRPr="00D32786">
        <w:rPr>
          <w:rFonts w:ascii="Arial" w:hAnsi="Arial" w:cs="Arial"/>
          <w:color w:val="000000" w:themeColor="text1"/>
        </w:rPr>
        <w:t xml:space="preserve"> </w:t>
      </w:r>
      <w:r w:rsidR="006B54A9" w:rsidRPr="00D32786">
        <w:rPr>
          <w:rFonts w:ascii="Arial" w:hAnsi="Arial" w:cs="Arial"/>
          <w:color w:val="000000" w:themeColor="text1"/>
        </w:rPr>
        <w:t xml:space="preserve">of </w:t>
      </w:r>
      <w:r w:rsidR="00795EC4" w:rsidRPr="00D32786">
        <w:rPr>
          <w:rFonts w:ascii="Arial" w:hAnsi="Arial" w:cs="Arial"/>
          <w:color w:val="000000" w:themeColor="text1"/>
        </w:rPr>
        <w:t xml:space="preserve">a county </w:t>
      </w:r>
      <w:r w:rsidR="006B54A9" w:rsidRPr="00D32786">
        <w:rPr>
          <w:rFonts w:ascii="Arial" w:hAnsi="Arial" w:cs="Arial"/>
          <w:color w:val="000000" w:themeColor="text1"/>
        </w:rPr>
        <w:t xml:space="preserve"> board of equalization proceeding.  The </w:t>
      </w:r>
      <w:r w:rsidR="00582439" w:rsidRPr="00D32786">
        <w:rPr>
          <w:rFonts w:ascii="Arial" w:hAnsi="Arial" w:cs="Arial"/>
          <w:color w:val="000000" w:themeColor="text1"/>
        </w:rPr>
        <w:t>motion must be in writing and mu</w:t>
      </w:r>
      <w:r w:rsidR="006B54A9" w:rsidRPr="00D32786">
        <w:rPr>
          <w:rFonts w:ascii="Arial" w:hAnsi="Arial" w:cs="Arial"/>
          <w:color w:val="000000" w:themeColor="text1"/>
        </w:rPr>
        <w:t xml:space="preserve">st </w:t>
      </w:r>
      <w:r w:rsidR="00954D02" w:rsidRPr="00D32786">
        <w:rPr>
          <w:rFonts w:ascii="Arial" w:hAnsi="Arial" w:cs="Arial"/>
        </w:rPr>
        <w:t xml:space="preserve">identify </w:t>
      </w:r>
      <w:r w:rsidR="006B54A9" w:rsidRPr="00D32786">
        <w:rPr>
          <w:rFonts w:ascii="Arial" w:hAnsi="Arial" w:cs="Arial"/>
        </w:rPr>
        <w:t xml:space="preserve">the </w:t>
      </w:r>
      <w:r w:rsidR="00954D02" w:rsidRPr="00D32786">
        <w:rPr>
          <w:rFonts w:ascii="Arial" w:hAnsi="Arial" w:cs="Arial"/>
        </w:rPr>
        <w:t xml:space="preserve">evidence </w:t>
      </w:r>
      <w:r w:rsidR="00582439" w:rsidRPr="00D32786">
        <w:rPr>
          <w:rFonts w:ascii="Arial" w:hAnsi="Arial" w:cs="Arial"/>
        </w:rPr>
        <w:t>to be considered</w:t>
      </w:r>
      <w:r w:rsidR="006B54A9" w:rsidRPr="00D32786">
        <w:rPr>
          <w:rFonts w:ascii="Arial" w:hAnsi="Arial" w:cs="Arial"/>
        </w:rPr>
        <w:t xml:space="preserve"> by</w:t>
      </w:r>
      <w:r w:rsidR="00954D02" w:rsidRPr="00D32786">
        <w:rPr>
          <w:rFonts w:ascii="Arial" w:hAnsi="Arial" w:cs="Arial"/>
        </w:rPr>
        <w:t xml:space="preserve">: </w:t>
      </w:r>
    </w:p>
    <w:p w14:paraId="53C230A2" w14:textId="20772021" w:rsidR="00954D02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a. </w:t>
      </w:r>
      <w:r w:rsidR="00954D02" w:rsidRPr="00D32786">
        <w:rPr>
          <w:rFonts w:ascii="Arial" w:hAnsi="Arial" w:cs="Arial"/>
          <w:color w:val="000000" w:themeColor="text1"/>
        </w:rPr>
        <w:t>Description or title of evidence;</w:t>
      </w:r>
    </w:p>
    <w:p w14:paraId="5BD09124" w14:textId="151867B6" w:rsidR="00954D02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b. </w:t>
      </w:r>
      <w:r w:rsidR="00954D02" w:rsidRPr="00D32786">
        <w:rPr>
          <w:rFonts w:ascii="Arial" w:hAnsi="Arial" w:cs="Arial"/>
          <w:color w:val="000000" w:themeColor="text1"/>
        </w:rPr>
        <w:t>Date, if any;</w:t>
      </w:r>
    </w:p>
    <w:p w14:paraId="6B5CE732" w14:textId="644F5CCC" w:rsidR="00954D02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c. </w:t>
      </w:r>
      <w:r w:rsidR="00954D02" w:rsidRPr="00D32786">
        <w:rPr>
          <w:rFonts w:ascii="Arial" w:hAnsi="Arial" w:cs="Arial"/>
          <w:color w:val="000000" w:themeColor="text1"/>
        </w:rPr>
        <w:t>Page number</w:t>
      </w:r>
      <w:r w:rsidR="002E6B6D" w:rsidRPr="00D32786">
        <w:rPr>
          <w:rFonts w:ascii="Arial" w:hAnsi="Arial" w:cs="Arial"/>
          <w:color w:val="000000" w:themeColor="text1"/>
        </w:rPr>
        <w:t>, if any</w:t>
      </w:r>
      <w:r w:rsidR="00954D02" w:rsidRPr="00D32786">
        <w:rPr>
          <w:rFonts w:ascii="Arial" w:hAnsi="Arial" w:cs="Arial"/>
          <w:color w:val="000000" w:themeColor="text1"/>
        </w:rPr>
        <w:t xml:space="preserve">; and </w:t>
      </w:r>
    </w:p>
    <w:p w14:paraId="33F7385A" w14:textId="53A7FA57" w:rsidR="00954D02" w:rsidRPr="00D32786" w:rsidRDefault="00243948" w:rsidP="00243948">
      <w:pPr>
        <w:tabs>
          <w:tab w:val="left" w:pos="720"/>
          <w:tab w:val="left" w:pos="1530"/>
        </w:tabs>
        <w:spacing w:after="12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32786">
        <w:rPr>
          <w:rFonts w:ascii="Arial" w:hAnsi="Arial" w:cs="Arial"/>
          <w:color w:val="000000" w:themeColor="text1"/>
        </w:rPr>
        <w:t xml:space="preserve">d. </w:t>
      </w:r>
      <w:r w:rsidR="00954D02" w:rsidRPr="00D32786">
        <w:rPr>
          <w:rFonts w:ascii="Arial" w:hAnsi="Arial" w:cs="Arial"/>
          <w:color w:val="000000" w:themeColor="text1"/>
        </w:rPr>
        <w:t xml:space="preserve">Other identifying information as may be required by </w:t>
      </w:r>
      <w:r w:rsidR="00A6791D" w:rsidRPr="00D32786">
        <w:rPr>
          <w:rFonts w:ascii="Arial" w:hAnsi="Arial" w:cs="Arial"/>
          <w:color w:val="000000" w:themeColor="text1"/>
        </w:rPr>
        <w:t xml:space="preserve">the </w:t>
      </w:r>
      <w:r w:rsidR="00954D02" w:rsidRPr="00D32786">
        <w:rPr>
          <w:rFonts w:ascii="Arial" w:hAnsi="Arial" w:cs="Arial"/>
          <w:color w:val="000000" w:themeColor="text1"/>
        </w:rPr>
        <w:t xml:space="preserve">board.  </w:t>
      </w:r>
    </w:p>
    <w:p w14:paraId="27AA66B8" w14:textId="6E3BBB96" w:rsidR="002E6B6D" w:rsidRPr="00D32786" w:rsidRDefault="00243948" w:rsidP="00243948">
      <w:pPr>
        <w:shd w:val="clear" w:color="auto" w:fill="FFFFFF"/>
        <w:tabs>
          <w:tab w:val="left" w:pos="720"/>
          <w:tab w:val="left" w:pos="1530"/>
        </w:tabs>
        <w:spacing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ab/>
      </w:r>
      <w:r w:rsidR="00D32786">
        <w:rPr>
          <w:rFonts w:ascii="Arial" w:hAnsi="Arial" w:cs="Arial"/>
        </w:rPr>
        <w:t>(4)</w:t>
      </w:r>
      <w:r w:rsidR="00954D02" w:rsidRPr="00D32786">
        <w:rPr>
          <w:rFonts w:ascii="Arial" w:hAnsi="Arial" w:cs="Arial"/>
        </w:rPr>
        <w:t xml:space="preserve">Upon request, the board will provide the parties with an electronic copy of the </w:t>
      </w:r>
      <w:r w:rsidR="006B54A9" w:rsidRPr="00D32786">
        <w:rPr>
          <w:rFonts w:ascii="Arial" w:hAnsi="Arial" w:cs="Arial"/>
        </w:rPr>
        <w:t>written record</w:t>
      </w:r>
      <w:r w:rsidR="002E6B6D" w:rsidRPr="00D32786">
        <w:rPr>
          <w:rFonts w:ascii="Arial" w:hAnsi="Arial" w:cs="Arial"/>
        </w:rPr>
        <w:t xml:space="preserve"> of a county board of equalization proceeding</w:t>
      </w:r>
      <w:r w:rsidR="00954D02" w:rsidRPr="00D32786">
        <w:rPr>
          <w:rFonts w:ascii="Arial" w:hAnsi="Arial" w:cs="Arial"/>
        </w:rPr>
        <w:t>.</w:t>
      </w:r>
      <w:r w:rsidR="009F0C34" w:rsidRPr="00D32786">
        <w:rPr>
          <w:rFonts w:ascii="Arial" w:hAnsi="Arial" w:cs="Arial"/>
        </w:rPr>
        <w:t xml:space="preserve"> </w:t>
      </w:r>
      <w:r w:rsidR="00954D02" w:rsidRPr="00D32786">
        <w:rPr>
          <w:rFonts w:ascii="Arial" w:hAnsi="Arial" w:cs="Arial"/>
        </w:rPr>
        <w:t xml:space="preserve"> </w:t>
      </w:r>
      <w:r w:rsidR="00954D02" w:rsidRPr="00D32786">
        <w:rPr>
          <w:rFonts w:ascii="Arial" w:eastAsia="Times New Roman" w:hAnsi="Arial" w:cs="Arial"/>
        </w:rPr>
        <w:t xml:space="preserve">Paper copies may be requested at the same cost per page as </w:t>
      </w:r>
      <w:r w:rsidR="00A90D47" w:rsidRPr="00D32786">
        <w:rPr>
          <w:rFonts w:ascii="Arial" w:eastAsia="Times New Roman" w:hAnsi="Arial" w:cs="Arial"/>
        </w:rPr>
        <w:t>for a public record request</w:t>
      </w:r>
      <w:r w:rsidR="00954D02" w:rsidRPr="00D32786">
        <w:rPr>
          <w:rFonts w:ascii="Arial" w:eastAsia="Times New Roman" w:hAnsi="Arial" w:cs="Arial"/>
        </w:rPr>
        <w:t xml:space="preserve">. </w:t>
      </w:r>
    </w:p>
    <w:p w14:paraId="34788431" w14:textId="04985D7C" w:rsidR="000A5AE6" w:rsidRPr="00096549" w:rsidRDefault="00243948" w:rsidP="00243948">
      <w:pPr>
        <w:shd w:val="clear" w:color="auto" w:fill="FFFFFF"/>
        <w:tabs>
          <w:tab w:val="left" w:pos="720"/>
          <w:tab w:val="left" w:pos="1530"/>
        </w:tabs>
        <w:spacing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="00D32786">
        <w:rPr>
          <w:rFonts w:ascii="Arial" w:hAnsi="Arial" w:cs="Arial"/>
          <w:color w:val="000000" w:themeColor="text1"/>
        </w:rPr>
        <w:t>(5)The board does not review</w:t>
      </w:r>
      <w:r w:rsidR="00F068A9" w:rsidRPr="00D32786">
        <w:rPr>
          <w:rFonts w:ascii="Arial" w:hAnsi="Arial" w:cs="Arial"/>
          <w:color w:val="000000" w:themeColor="text1"/>
        </w:rPr>
        <w:t xml:space="preserve"> a record of</w:t>
      </w:r>
      <w:r w:rsidR="00D74DF7" w:rsidRPr="00D32786">
        <w:rPr>
          <w:rFonts w:ascii="Arial" w:hAnsi="Arial" w:cs="Arial"/>
          <w:color w:val="000000" w:themeColor="text1"/>
        </w:rPr>
        <w:t xml:space="preserve">, or consider, </w:t>
      </w:r>
      <w:r w:rsidR="00F068A9" w:rsidRPr="00D32786">
        <w:rPr>
          <w:rFonts w:ascii="Arial" w:hAnsi="Arial" w:cs="Arial"/>
          <w:color w:val="000000" w:themeColor="text1"/>
        </w:rPr>
        <w:t xml:space="preserve">testimony or other evidence </w:t>
      </w:r>
      <w:r w:rsidR="002E6B6D" w:rsidRPr="00D32786">
        <w:rPr>
          <w:rFonts w:ascii="Arial" w:hAnsi="Arial" w:cs="Arial"/>
          <w:color w:val="000000" w:themeColor="text1"/>
        </w:rPr>
        <w:t>submitted</w:t>
      </w:r>
      <w:r w:rsidR="00F068A9" w:rsidRPr="00D32786">
        <w:rPr>
          <w:rFonts w:ascii="Arial" w:hAnsi="Arial" w:cs="Arial"/>
          <w:color w:val="000000" w:themeColor="text1"/>
        </w:rPr>
        <w:t xml:space="preserve"> in a d</w:t>
      </w:r>
      <w:r w:rsidR="00D74DF7" w:rsidRPr="00D32786">
        <w:rPr>
          <w:rFonts w:ascii="Arial" w:hAnsi="Arial" w:cs="Arial"/>
          <w:color w:val="000000" w:themeColor="text1"/>
        </w:rPr>
        <w:t xml:space="preserve">epartment of revenue proceeding.  </w:t>
      </w:r>
    </w:p>
    <w:sectPr w:rsidR="000A5AE6" w:rsidRPr="00096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F94A" w14:textId="77777777" w:rsidR="00096549" w:rsidRDefault="00096549" w:rsidP="00096549">
      <w:pPr>
        <w:spacing w:after="0" w:line="240" w:lineRule="auto"/>
      </w:pPr>
      <w:r>
        <w:separator/>
      </w:r>
    </w:p>
  </w:endnote>
  <w:endnote w:type="continuationSeparator" w:id="0">
    <w:p w14:paraId="28B7D1F3" w14:textId="77777777" w:rsidR="00096549" w:rsidRDefault="00096549" w:rsidP="000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5136" w14:textId="77777777" w:rsidR="00096549" w:rsidRDefault="00096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E32E" w14:textId="77777777" w:rsidR="00096549" w:rsidRPr="00177B95" w:rsidRDefault="00096549" w:rsidP="00096549">
    <w:pPr>
      <w:spacing w:line="240" w:lineRule="auto"/>
      <w:jc w:val="center"/>
      <w:rPr>
        <w:rFonts w:ascii="Calibri" w:hAnsi="Calibri" w:cs="Calibri"/>
        <w:b/>
        <w:sz w:val="28"/>
        <w:szCs w:val="28"/>
      </w:rPr>
    </w:pPr>
    <w:r w:rsidRPr="00177B95">
      <w:rPr>
        <w:rFonts w:ascii="Calibri" w:hAnsi="Calibri" w:cs="Calibri"/>
        <w:b/>
        <w:sz w:val="28"/>
        <w:szCs w:val="28"/>
      </w:rPr>
      <w:t xml:space="preserve">WASHINGTON STATE </w:t>
    </w:r>
    <w:r w:rsidRPr="00177B95">
      <w:rPr>
        <w:rFonts w:ascii="Calibri" w:hAnsi="Calibri" w:cs="Calibri"/>
        <w:b/>
        <w:spacing w:val="4"/>
        <w:sz w:val="28"/>
        <w:szCs w:val="28"/>
      </w:rPr>
      <w:t>BOARD OF TAX APPEALS</w:t>
    </w:r>
  </w:p>
  <w:p w14:paraId="15ED5B04" w14:textId="77777777" w:rsidR="00096549" w:rsidRDefault="00096549" w:rsidP="00096549">
    <w:pPr>
      <w:tabs>
        <w:tab w:val="left" w:pos="9360"/>
      </w:tabs>
      <w:spacing w:after="0" w:line="240" w:lineRule="auto"/>
      <w:jc w:val="center"/>
      <w:rPr>
        <w:rFonts w:ascii="Arial Narrow" w:eastAsia="Arial" w:hAnsi="Arial Narrow"/>
        <w:color w:val="231F20"/>
      </w:rPr>
    </w:pPr>
    <w:r w:rsidRPr="00177B95">
      <w:rPr>
        <w:rFonts w:ascii="Arial Narrow" w:eastAsia="Arial" w:hAnsi="Arial Narrow"/>
        <w:b/>
        <w:color w:val="1B75BC"/>
      </w:rPr>
      <w:t>Address</w:t>
    </w:r>
    <w:r w:rsidRPr="00177B95">
      <w:rPr>
        <w:rFonts w:ascii="Arial Narrow" w:eastAsia="Arial" w:hAnsi="Arial Narrow"/>
        <w:color w:val="1B75BC"/>
      </w:rPr>
      <w:t xml:space="preserve"> </w:t>
    </w:r>
    <w:r w:rsidRPr="0047464A">
      <w:rPr>
        <w:rFonts w:ascii="Arial Narrow" w:eastAsia="Arial" w:hAnsi="Arial Narrow"/>
        <w:color w:val="231F20"/>
      </w:rPr>
      <w:t xml:space="preserve">1110 Capitol Way </w:t>
    </w:r>
    <w:r>
      <w:rPr>
        <w:rFonts w:ascii="Arial Narrow" w:eastAsia="Arial" w:hAnsi="Arial Narrow"/>
        <w:color w:val="231F20"/>
      </w:rPr>
      <w:t>South, Suite 307 (P.O. Box 40915) Olympia, WA 98504-0915</w:t>
    </w:r>
    <w:r w:rsidRPr="00177B95">
      <w:rPr>
        <w:rFonts w:ascii="Arial Narrow" w:eastAsia="Arial" w:hAnsi="Arial Narrow"/>
        <w:color w:val="231F20"/>
      </w:rPr>
      <w:br/>
    </w:r>
    <w:r>
      <w:rPr>
        <w:rFonts w:ascii="Arial Narrow" w:eastAsia="Arial" w:hAnsi="Arial Narrow"/>
        <w:b/>
        <w:color w:val="1B75BC"/>
      </w:rPr>
      <w:t>Telephone</w:t>
    </w:r>
    <w:r w:rsidRPr="00177B95">
      <w:rPr>
        <w:rFonts w:ascii="Arial Narrow" w:eastAsia="Arial" w:hAnsi="Arial Narrow"/>
        <w:color w:val="1B75BC"/>
      </w:rPr>
      <w:t xml:space="preserve"> </w:t>
    </w:r>
    <w:r w:rsidRPr="00177B95">
      <w:rPr>
        <w:rFonts w:ascii="Arial Narrow" w:eastAsia="Arial" w:hAnsi="Arial Narrow"/>
        <w:color w:val="231F20"/>
      </w:rPr>
      <w:t>(360) 753-5446</w:t>
    </w:r>
    <w:r w:rsidRPr="003B54DC">
      <w:rPr>
        <w:rFonts w:ascii="Arial Narrow" w:eastAsia="Arial" w:hAnsi="Arial Narrow"/>
        <w:color w:val="125F9E"/>
      </w:rPr>
      <w:t xml:space="preserve"> |</w:t>
    </w:r>
    <w:r w:rsidRPr="00177B95">
      <w:rPr>
        <w:rFonts w:ascii="Arial Narrow" w:eastAsia="Arial" w:hAnsi="Arial Narrow"/>
        <w:color w:val="27AAE1"/>
      </w:rPr>
      <w:t xml:space="preserve"> </w:t>
    </w:r>
    <w:r w:rsidRPr="00177B95">
      <w:rPr>
        <w:rFonts w:ascii="Arial Narrow" w:eastAsia="Arial" w:hAnsi="Arial Narrow"/>
        <w:b/>
        <w:color w:val="1B75BC"/>
      </w:rPr>
      <w:t>Toll-Free</w:t>
    </w:r>
    <w:r w:rsidRPr="00177B95">
      <w:rPr>
        <w:rFonts w:ascii="Arial Narrow" w:eastAsia="Arial" w:hAnsi="Arial Narrow"/>
        <w:color w:val="1B75BC"/>
      </w:rPr>
      <w:t xml:space="preserve"> </w:t>
    </w:r>
    <w:r w:rsidRPr="00177B95">
      <w:rPr>
        <w:rFonts w:ascii="Arial Narrow" w:eastAsia="Arial" w:hAnsi="Arial Narrow"/>
        <w:color w:val="231F20"/>
      </w:rPr>
      <w:t>(</w:t>
    </w:r>
    <w:r>
      <w:rPr>
        <w:rFonts w:ascii="Arial Narrow" w:eastAsia="Arial" w:hAnsi="Arial Narrow"/>
        <w:color w:val="231F20"/>
      </w:rPr>
      <w:t xml:space="preserve">844) </w:t>
    </w:r>
    <w:r w:rsidRPr="0047464A">
      <w:rPr>
        <w:rFonts w:ascii="Arial Narrow" w:eastAsia="Arial" w:hAnsi="Arial Narrow"/>
        <w:color w:val="231F20"/>
      </w:rPr>
      <w:t>880-879</w:t>
    </w:r>
    <w:r>
      <w:rPr>
        <w:rFonts w:ascii="Arial Narrow" w:eastAsia="Arial" w:hAnsi="Arial Narrow"/>
        <w:color w:val="231F20"/>
      </w:rPr>
      <w:t xml:space="preserve">4 </w:t>
    </w:r>
    <w:r w:rsidRPr="003B54DC">
      <w:rPr>
        <w:rFonts w:ascii="Arial Narrow" w:eastAsia="Arial" w:hAnsi="Arial Narrow"/>
        <w:color w:val="125F9E"/>
      </w:rPr>
      <w:t>|</w:t>
    </w:r>
    <w:r w:rsidRPr="00177B95">
      <w:rPr>
        <w:rFonts w:ascii="Arial Narrow" w:eastAsia="Arial" w:hAnsi="Arial Narrow"/>
        <w:color w:val="27AAE1"/>
      </w:rPr>
      <w:t xml:space="preserve"> </w:t>
    </w:r>
    <w:r w:rsidRPr="00177B95">
      <w:rPr>
        <w:rFonts w:ascii="Arial Narrow" w:eastAsia="Arial" w:hAnsi="Arial Narrow"/>
        <w:b/>
        <w:color w:val="1B75BC"/>
      </w:rPr>
      <w:t>Fax</w:t>
    </w:r>
    <w:r w:rsidRPr="00177B95">
      <w:rPr>
        <w:rFonts w:ascii="Arial Narrow" w:eastAsia="Arial" w:hAnsi="Arial Narrow"/>
        <w:color w:val="1B75BC"/>
      </w:rPr>
      <w:t xml:space="preserve"> </w:t>
    </w:r>
    <w:r w:rsidRPr="00177B95">
      <w:rPr>
        <w:rFonts w:ascii="Arial Narrow" w:eastAsia="Arial" w:hAnsi="Arial Narrow"/>
        <w:color w:val="231F20"/>
      </w:rPr>
      <w:t>(360) 586-9020</w:t>
    </w:r>
  </w:p>
  <w:p w14:paraId="4DC9733B" w14:textId="77777777" w:rsidR="00096549" w:rsidRPr="00177B95" w:rsidRDefault="00096549" w:rsidP="00096549">
    <w:pPr>
      <w:spacing w:line="240" w:lineRule="auto"/>
      <w:ind w:right="585"/>
      <w:jc w:val="center"/>
      <w:rPr>
        <w:rFonts w:ascii="Arial Narrow" w:eastAsia="Arial" w:hAnsi="Arial Narrow"/>
        <w:color w:val="231F20"/>
      </w:rPr>
    </w:pPr>
    <w:r w:rsidRPr="00177B95">
      <w:rPr>
        <w:rFonts w:ascii="Arial Narrow" w:eastAsia="Arial" w:hAnsi="Arial Narrow"/>
        <w:b/>
        <w:color w:val="1B75BC"/>
      </w:rPr>
      <w:t>Email</w:t>
    </w:r>
    <w:r w:rsidRPr="00177B95">
      <w:rPr>
        <w:rFonts w:ascii="Arial Narrow" w:eastAsia="Arial" w:hAnsi="Arial Narrow"/>
        <w:color w:val="1B75BC"/>
      </w:rPr>
      <w:t xml:space="preserve"> </w:t>
    </w:r>
    <w:hyperlink r:id="rId1" w:history="1">
      <w:r w:rsidRPr="00C739A9">
        <w:rPr>
          <w:rStyle w:val="Hyperlink"/>
          <w:rFonts w:ascii="Arial Narrow" w:eastAsia="Arial" w:hAnsi="Arial Narrow"/>
        </w:rPr>
        <w:t xml:space="preserve">bta@bta.wa.gov </w:t>
      </w:r>
    </w:hyperlink>
    <w:r>
      <w:rPr>
        <w:rFonts w:ascii="Arial Narrow" w:eastAsia="Arial" w:hAnsi="Arial Narrow"/>
      </w:rPr>
      <w:t xml:space="preserve">  </w:t>
    </w:r>
    <w:r w:rsidRPr="003B54DC">
      <w:rPr>
        <w:rFonts w:ascii="Arial Narrow" w:eastAsia="Arial" w:hAnsi="Arial Narrow"/>
        <w:color w:val="125F9E"/>
      </w:rPr>
      <w:t xml:space="preserve">| </w:t>
    </w:r>
    <w:r w:rsidRPr="00177B95">
      <w:rPr>
        <w:rFonts w:ascii="Arial Narrow" w:eastAsia="Arial" w:hAnsi="Arial Narrow"/>
        <w:b/>
        <w:color w:val="1B75BC"/>
      </w:rPr>
      <w:t>Website</w:t>
    </w:r>
    <w:r w:rsidRPr="00177B95">
      <w:rPr>
        <w:rFonts w:ascii="Arial Narrow" w:eastAsia="Arial" w:hAnsi="Arial Narrow"/>
        <w:color w:val="1B75BC"/>
      </w:rPr>
      <w:t xml:space="preserve"> </w:t>
    </w:r>
    <w:r w:rsidRPr="00FC0446">
      <w:rPr>
        <w:rFonts w:ascii="Arial Narrow" w:eastAsia="Arial" w:hAnsi="Arial Narrow"/>
        <w:color w:val="000000" w:themeColor="text1"/>
      </w:rPr>
      <w:t>www.bta</w:t>
    </w:r>
    <w:r w:rsidRPr="00177B95">
      <w:rPr>
        <w:rFonts w:ascii="Arial Narrow" w:eastAsia="Arial" w:hAnsi="Arial Narrow"/>
        <w:color w:val="231F20"/>
      </w:rPr>
      <w:t>.</w:t>
    </w:r>
    <w:r>
      <w:rPr>
        <w:rFonts w:ascii="Arial Narrow" w:eastAsia="Arial" w:hAnsi="Arial Narrow"/>
        <w:color w:val="231F20"/>
      </w:rPr>
      <w:t>wa.gov</w:t>
    </w:r>
  </w:p>
  <w:p w14:paraId="5BAD959F" w14:textId="77777777" w:rsidR="00096549" w:rsidRDefault="00096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0989" w14:textId="77777777" w:rsidR="00096549" w:rsidRDefault="0009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9B8A" w14:textId="77777777" w:rsidR="00096549" w:rsidRDefault="00096549" w:rsidP="00096549">
      <w:pPr>
        <w:spacing w:after="0" w:line="240" w:lineRule="auto"/>
      </w:pPr>
      <w:r>
        <w:separator/>
      </w:r>
    </w:p>
  </w:footnote>
  <w:footnote w:type="continuationSeparator" w:id="0">
    <w:p w14:paraId="13C3A088" w14:textId="77777777" w:rsidR="00096549" w:rsidRDefault="00096549" w:rsidP="0009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CD9D" w14:textId="77777777" w:rsidR="00096549" w:rsidRDefault="00096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61074"/>
      <w:docPartObj>
        <w:docPartGallery w:val="Watermarks"/>
        <w:docPartUnique/>
      </w:docPartObj>
    </w:sdtPr>
    <w:sdtContent>
      <w:p w14:paraId="46BA7F8C" w14:textId="3B471E7A" w:rsidR="00096549" w:rsidRDefault="00096549">
        <w:pPr>
          <w:pStyle w:val="Header"/>
        </w:pPr>
        <w:r>
          <w:rPr>
            <w:noProof/>
          </w:rPr>
          <w:pict w14:anchorId="3810B8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C0A0" w14:textId="77777777" w:rsidR="00096549" w:rsidRDefault="00096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1F9"/>
    <w:multiLevelType w:val="hybridMultilevel"/>
    <w:tmpl w:val="D65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4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27F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005C4B"/>
    <w:multiLevelType w:val="hybridMultilevel"/>
    <w:tmpl w:val="C18A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D0E"/>
    <w:multiLevelType w:val="hybridMultilevel"/>
    <w:tmpl w:val="80D88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CBE32A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C0"/>
    <w:rsid w:val="00056D5F"/>
    <w:rsid w:val="000800CE"/>
    <w:rsid w:val="00096549"/>
    <w:rsid w:val="000A5AE6"/>
    <w:rsid w:val="00120CDD"/>
    <w:rsid w:val="00243948"/>
    <w:rsid w:val="0024414C"/>
    <w:rsid w:val="002E26D7"/>
    <w:rsid w:val="002E6B6D"/>
    <w:rsid w:val="00322F62"/>
    <w:rsid w:val="0036215B"/>
    <w:rsid w:val="003E626C"/>
    <w:rsid w:val="00415FB0"/>
    <w:rsid w:val="00445B04"/>
    <w:rsid w:val="00463427"/>
    <w:rsid w:val="004F7216"/>
    <w:rsid w:val="00511586"/>
    <w:rsid w:val="00526EE8"/>
    <w:rsid w:val="00572DA1"/>
    <w:rsid w:val="00582439"/>
    <w:rsid w:val="00604D90"/>
    <w:rsid w:val="006B54A9"/>
    <w:rsid w:val="00795EC4"/>
    <w:rsid w:val="007A7437"/>
    <w:rsid w:val="008155BC"/>
    <w:rsid w:val="00887929"/>
    <w:rsid w:val="008A59FD"/>
    <w:rsid w:val="00907FE3"/>
    <w:rsid w:val="00954D02"/>
    <w:rsid w:val="00961B68"/>
    <w:rsid w:val="009638E8"/>
    <w:rsid w:val="009C519D"/>
    <w:rsid w:val="009F0C34"/>
    <w:rsid w:val="009F246E"/>
    <w:rsid w:val="00A262C0"/>
    <w:rsid w:val="00A3311E"/>
    <w:rsid w:val="00A646B3"/>
    <w:rsid w:val="00A6791D"/>
    <w:rsid w:val="00A747F7"/>
    <w:rsid w:val="00A90D47"/>
    <w:rsid w:val="00B36867"/>
    <w:rsid w:val="00B85AEC"/>
    <w:rsid w:val="00B85C8F"/>
    <w:rsid w:val="00C54481"/>
    <w:rsid w:val="00C63FEE"/>
    <w:rsid w:val="00D32786"/>
    <w:rsid w:val="00D74DF7"/>
    <w:rsid w:val="00DD79FE"/>
    <w:rsid w:val="00DE1DF0"/>
    <w:rsid w:val="00E33F1F"/>
    <w:rsid w:val="00E36776"/>
    <w:rsid w:val="00F068A9"/>
    <w:rsid w:val="00F44BD8"/>
    <w:rsid w:val="00F81A52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63260B"/>
  <w15:chartTrackingRefBased/>
  <w15:docId w15:val="{8B14AA7F-8B65-43A3-B102-D7C76F3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2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49"/>
  </w:style>
  <w:style w:type="paragraph" w:styleId="Footer">
    <w:name w:val="footer"/>
    <w:basedOn w:val="Normal"/>
    <w:link w:val="FooterChar"/>
    <w:uiPriority w:val="99"/>
    <w:unhideWhenUsed/>
    <w:rsid w:val="000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49"/>
  </w:style>
  <w:style w:type="character" w:styleId="Hyperlink">
    <w:name w:val="Hyperlink"/>
    <w:basedOn w:val="DefaultParagraphFont"/>
    <w:uiPriority w:val="99"/>
    <w:unhideWhenUsed/>
    <w:rsid w:val="0009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ta@bta.wa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Lamb</dc:creator>
  <cp:keywords/>
  <dc:description/>
  <cp:lastModifiedBy>Lamb, Keri (BTA)</cp:lastModifiedBy>
  <cp:revision>13</cp:revision>
  <dcterms:created xsi:type="dcterms:W3CDTF">2019-07-08T16:30:00Z</dcterms:created>
  <dcterms:modified xsi:type="dcterms:W3CDTF">2019-08-14T16:11:00Z</dcterms:modified>
</cp:coreProperties>
</file>